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pranchões e pregos para atender as reformas/construções na Zona Rural de Caratinga.)</w:t>
      </w:r>
    </w:p>
    <w:p>
      <w:pPr>
        <w:pStyle w:val="Normal"/>
        <w:spacing w:lineRule="auto" w:line="360"/>
        <w:jc w:val="center"/>
        <w:rPr/>
      </w:pPr>
      <w:r>
        <w:rPr/>
        <w:t>Processo 28/2022 - Pregão 15/2022.</w:t>
      </w:r>
    </w:p>
    <w:tbl>
      <w:tblPr>
        <w:tblW w:w="15605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470"/>
      </w:tblGrid>
      <w:tr>
        <w:trPr>
          <w:trHeight w:val="284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NOME DO LOTE</w:t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1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1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1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Prego para ponte - tamanhos 26 x72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GERDAU BELGO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477,00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26,4000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Madeiras São Pedro Ltda-Me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Pranchão de madeira medidas mínimas 3,50 metros de largura, comprimento x 8 centímetros de altura x 25 centímetros de largura.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MADEMIX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1.089,00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Madeiras São Pedro Ltda-Me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Pranchão de madeira medidas mínimas 3,50 metros de largura, comprimento x 8 centímetros de altura x 25 centímetros de largura.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MADEMIX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363,00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Madeiras São Pedro Ltda-Me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Madeiras São Pedro Ltda-Me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13.925.121/0001-96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Aurea Carlos Leite de Matos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S/N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Santo Antônio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33 3321 9500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189</Words>
  <Characters>1057</Characters>
  <CharactersWithSpaces>1190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2022-04-08T15:38:14Z</dcterms:modified>
  <cp:revision>10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